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after="0" w:before="0" w:line="240" w:lineRule="auto"/>
        <w:ind w:firstLine="0" w:left="5669" w:right="0"/>
        <w:jc w:val="left"/>
        <w:rPr>
          <w:b w:val="1"/>
          <w:sz w:val="24"/>
        </w:rPr>
      </w:pPr>
      <w:r>
        <w:rPr>
          <w:b w:val="1"/>
          <w:sz w:val="24"/>
        </w:rPr>
        <w:t xml:space="preserve">«Утверждаю» </w:t>
      </w:r>
      <w:r>
        <w:rPr>
          <w:sz w:val="24"/>
        </w:rPr>
        <w:t>Директор КОГОБУ ДО – «Дворец творчества – Мемориал» г. Кирова _______________ Ж.В. Родыгина</w:t>
      </w:r>
    </w:p>
    <w:p w14:paraId="02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center"/>
      </w:pPr>
      <w:r>
        <w:rPr>
          <w:rFonts w:ascii="Times New Roman" w:hAnsi="Times New Roman"/>
          <w:b w:val="1"/>
          <w:sz w:val="28"/>
        </w:rPr>
        <w:t xml:space="preserve">Положение </w:t>
      </w:r>
    </w:p>
    <w:p w14:paraId="05000000">
      <w:pPr>
        <w:pStyle w:val="Style_2"/>
        <w:ind/>
        <w:jc w:val="center"/>
      </w:pPr>
      <w:r>
        <w:rPr>
          <w:rFonts w:ascii="Times New Roman" w:hAnsi="Times New Roman"/>
          <w:b w:val="1"/>
          <w:sz w:val="28"/>
        </w:rPr>
        <w:t>о проведении областного проект – занятия «Боевая слава русского поля», посвящённого 210 – летию Бородинской битвы             Отечественной войны 1812 г.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3"/>
        <w:widowControl w:val="1"/>
        <w:numPr>
          <w:ilvl w:val="0"/>
          <w:numId w:val="0"/>
        </w:numPr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1. ОБЩИЕ ПОЛОЖЕНИЯ</w:t>
      </w:r>
      <w:r>
        <w:rPr>
          <w:sz w:val="24"/>
        </w:rPr>
        <w:t>.</w:t>
      </w:r>
    </w:p>
    <w:p w14:paraId="08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 xml:space="preserve">Настоящее положение устанавливает порядок и сроки проведения проект – занятия </w:t>
      </w:r>
      <w:r>
        <w:rPr>
          <w:b w:val="1"/>
          <w:sz w:val="24"/>
        </w:rPr>
        <w:t>«Боевая слава русского поля»</w:t>
      </w:r>
      <w:r>
        <w:rPr>
          <w:sz w:val="24"/>
        </w:rPr>
        <w:t>, посвящённого 210 – летию Бородинской битвы и определяет категорию участников, порядок проведения, подведения итогов и определения победителей.</w:t>
      </w:r>
    </w:p>
    <w:p w14:paraId="09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Организует и проводит проект – занятие КОГОБУ ДО «Дворец творчества - Мемориал» (далее Дворец) при поддержке КОО ВООВ «Боевое братство».</w:t>
      </w:r>
    </w:p>
    <w:p w14:paraId="0A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 xml:space="preserve">Проект – занятие проводится </w:t>
      </w:r>
      <w:r>
        <w:rPr>
          <w:b w:val="1"/>
          <w:sz w:val="24"/>
        </w:rPr>
        <w:t>в целях</w:t>
      </w:r>
      <w:r>
        <w:rPr>
          <w:sz w:val="24"/>
        </w:rPr>
        <w:t xml:space="preserve"> военно–патриотического и духовно-нравственного воспитания, формирования у обучающихся чувства любви и гордости за своё Отечество, на примерах героев Отечественной войны 1812 г.</w:t>
      </w:r>
    </w:p>
    <w:p w14:paraId="0B000000">
      <w:pPr>
        <w:pStyle w:val="Style_3"/>
        <w:spacing w:line="240" w:lineRule="auto"/>
        <w:ind w:firstLine="360" w:left="360"/>
        <w:jc w:val="both"/>
      </w:pPr>
      <w:r>
        <w:rPr>
          <w:b w:val="1"/>
          <w:sz w:val="24"/>
        </w:rPr>
        <w:t>Задачи проект - игры:</w:t>
      </w:r>
    </w:p>
    <w:p w14:paraId="0C000000">
      <w:pPr>
        <w:pStyle w:val="Style_3"/>
        <w:numPr>
          <w:ilvl w:val="0"/>
          <w:numId w:val="1"/>
        </w:numPr>
        <w:spacing w:line="240" w:lineRule="auto"/>
        <w:ind/>
        <w:jc w:val="both"/>
      </w:pPr>
      <w:r>
        <w:rPr>
          <w:sz w:val="24"/>
        </w:rPr>
        <w:t>воспитание патриотизма и гражданственности у детей и молодёжи;</w:t>
      </w:r>
    </w:p>
    <w:p w14:paraId="0D000000">
      <w:pPr>
        <w:pStyle w:val="Style_4"/>
        <w:numPr>
          <w:ilvl w:val="0"/>
          <w:numId w:val="1"/>
        </w:numPr>
        <w:spacing w:line="240" w:lineRule="auto"/>
        <w:ind/>
        <w:jc w:val="both"/>
      </w:pPr>
      <w:r>
        <w:rPr>
          <w:rFonts w:ascii="Times New Roman" w:hAnsi="Times New Roman"/>
          <w:sz w:val="24"/>
        </w:rPr>
        <w:t>духовно – нравственное воспитание учащихся на примерах героев Отечественной войны 1812 г.</w:t>
      </w:r>
    </w:p>
    <w:p w14:paraId="0E000000">
      <w:pPr>
        <w:pStyle w:val="Style_4"/>
        <w:numPr>
          <w:ilvl w:val="0"/>
          <w:numId w:val="1"/>
        </w:numPr>
        <w:spacing w:line="240" w:lineRule="auto"/>
        <w:ind/>
        <w:jc w:val="both"/>
      </w:pPr>
      <w:r>
        <w:rPr>
          <w:rFonts w:ascii="Times New Roman" w:hAnsi="Times New Roman"/>
          <w:sz w:val="24"/>
        </w:rPr>
        <w:t>расширение кругозора учащихся на основе знаменательных событий в истории России начала Х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Х века.</w:t>
      </w:r>
    </w:p>
    <w:p w14:paraId="0F000000">
      <w:pPr>
        <w:pStyle w:val="Style_3"/>
        <w:widowControl w:val="1"/>
        <w:numPr>
          <w:ilvl w:val="0"/>
          <w:numId w:val="0"/>
        </w:numPr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2. УЧАСТНИКИ ПРОЕКТ – ЗАНЯТИЯ</w:t>
      </w:r>
      <w:r>
        <w:rPr>
          <w:sz w:val="24"/>
        </w:rPr>
        <w:t>.</w:t>
      </w:r>
    </w:p>
    <w:p w14:paraId="10000000">
      <w:pPr>
        <w:pStyle w:val="Style_3"/>
        <w:widowControl w:val="1"/>
        <w:numPr>
          <w:ilvl w:val="0"/>
          <w:numId w:val="0"/>
        </w:numPr>
        <w:spacing w:after="0" w:before="0" w:line="240" w:lineRule="auto"/>
        <w:ind w:firstLine="567" w:left="0" w:right="0"/>
        <w:jc w:val="both"/>
      </w:pPr>
      <w:r>
        <w:rPr>
          <w:sz w:val="24"/>
        </w:rPr>
        <w:t>Участниками  являются учащиеся 11 – 14 лет (5 - 8кл.) образовательных учреждений Кировской области.</w:t>
      </w:r>
    </w:p>
    <w:p w14:paraId="11000000">
      <w:pPr>
        <w:pStyle w:val="Style_3"/>
        <w:numPr>
          <w:ilvl w:val="0"/>
          <w:numId w:val="0"/>
        </w:numPr>
        <w:spacing w:line="240" w:lineRule="auto"/>
        <w:ind w:firstLine="0" w:left="720"/>
        <w:jc w:val="both"/>
        <w:rPr>
          <w:rFonts w:ascii="Times New Roman" w:hAnsi="Times New Roman"/>
          <w:sz w:val="24"/>
        </w:rPr>
      </w:pPr>
    </w:p>
    <w:p w14:paraId="12000000">
      <w:pPr>
        <w:pStyle w:val="Style_3"/>
        <w:widowControl w:val="1"/>
        <w:numPr>
          <w:ilvl w:val="0"/>
          <w:numId w:val="0"/>
        </w:numPr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3. СР</w:t>
      </w:r>
      <w:r>
        <w:rPr>
          <w:b w:val="1"/>
          <w:sz w:val="24"/>
        </w:rPr>
        <w:t>ОКИ И МЕСТО ПРОВЕДЕНИЯ ПРОЕКТ- ЗАНЯТИЯ</w:t>
      </w:r>
      <w:r>
        <w:rPr>
          <w:sz w:val="24"/>
        </w:rPr>
        <w:t>.</w:t>
      </w:r>
    </w:p>
    <w:p w14:paraId="13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Проект - занятие проводится в два этапа в очно – заочной форме.</w:t>
      </w:r>
    </w:p>
    <w:p w14:paraId="14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1 этап проходит в сентябре – октябре. Для учебных заведений г. Кирова – в очной форме (проводится как во Дворце, так и в учебных заведениях). Для районов области в заочной форме.</w:t>
      </w:r>
    </w:p>
    <w:p w14:paraId="15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2 этап проходит очно по итогам 1 этапа в канун Дня героев Отечества на базе Дворца в форме круглого стола.(Дата проведения будет объявлена дополнительно)</w:t>
      </w:r>
    </w:p>
    <w:p w14:paraId="16000000">
      <w:pPr>
        <w:pStyle w:val="Style_3"/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</w:p>
    <w:p w14:paraId="17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4. СРОКИ ПОДАЧИ ЗАЯВОК</w:t>
      </w:r>
      <w:r>
        <w:rPr>
          <w:sz w:val="24"/>
        </w:rPr>
        <w:t>.</w:t>
      </w:r>
    </w:p>
    <w:p w14:paraId="18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Заявки на участие направляются по адресу: 610035 г. Киров, ул. Сурикова 21</w:t>
      </w:r>
      <w:bookmarkStart w:id="1" w:name="_GoBack"/>
      <w:bookmarkEnd w:id="1"/>
      <w:r>
        <w:rPr>
          <w:sz w:val="24"/>
        </w:rPr>
        <w:t xml:space="preserve">, музей БС «Память» </w:t>
      </w:r>
      <w:r>
        <w:rPr>
          <w:b w:val="1"/>
          <w:sz w:val="24"/>
        </w:rPr>
        <w:t xml:space="preserve">до 10 </w:t>
      </w:r>
      <w:r>
        <w:rPr>
          <w:b w:val="1"/>
          <w:sz w:val="24"/>
        </w:rPr>
        <w:t>октября 2022 г</w:t>
      </w:r>
      <w:r>
        <w:rPr>
          <w:sz w:val="24"/>
        </w:rPr>
        <w:t>. тел. 8-912-701-87-23, 57-08-95. В заявке указывается учебное заведение, участники (5 человек, участвующих в подготовке занятия), руководитель, телефон.</w:t>
      </w:r>
    </w:p>
    <w:p w14:paraId="19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Проезд транспортом: автобус №№ 2, 16, 23, 44, 51, троллейбус: №№ 5,7.</w:t>
      </w:r>
    </w:p>
    <w:p w14:paraId="1A000000">
      <w:pPr>
        <w:pStyle w:val="Style_3"/>
        <w:widowControl w:val="1"/>
        <w:spacing w:after="0" w:before="0" w:line="240" w:lineRule="auto"/>
        <w:ind w:firstLine="567" w:left="0" w:right="0"/>
        <w:jc w:val="both"/>
      </w:pPr>
    </w:p>
    <w:p w14:paraId="1B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5. ПОРЯДОК ПРОВЕДЕНИЯ ПРОЕКТ - ЗАНЯТИЯ</w:t>
      </w:r>
      <w:r>
        <w:rPr>
          <w:sz w:val="24"/>
        </w:rPr>
        <w:t>.</w:t>
      </w:r>
    </w:p>
    <w:p w14:paraId="1C000000">
      <w:pPr>
        <w:pStyle w:val="Style_3"/>
        <w:spacing w:line="240" w:lineRule="auto"/>
        <w:ind w:firstLine="0" w:left="555"/>
        <w:jc w:val="both"/>
        <w:rPr>
          <w:rFonts w:ascii="Times New Roman" w:hAnsi="Times New Roman"/>
          <w:sz w:val="24"/>
        </w:rPr>
      </w:pPr>
    </w:p>
    <w:p w14:paraId="1D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На 1 этапе участники проекта от учебных заведений г. Кирова  посещают во Дворце консультативные занятия (5 человек) для подготовки проект – занятия непосредственно с классом. На консультативных занятиях создаются презентации, макеты, карты сражений, элементы униформы. По готовности проект-занятие проводится с классом (классами) на базе Дворца или в учебном заведении.</w:t>
      </w:r>
    </w:p>
    <w:p w14:paraId="1E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Для учебных заведений районов области 1 этап проходит заочно. Участники выполняют конкурсные задания согласно ниже перечисленных обязательных номинаций, проводят соответствующие тематические занятия в своих учебных заведениях, о чём высылают заверенный отчёт вместе с конкурсными работами в адрес организаторов.</w:t>
      </w:r>
    </w:p>
    <w:p w14:paraId="1F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 xml:space="preserve">На 2 этапе состоится итоговая работа круглого стола по теме: </w:t>
      </w:r>
      <w:r>
        <w:rPr>
          <w:b w:val="1"/>
          <w:sz w:val="24"/>
        </w:rPr>
        <w:t xml:space="preserve">«Разговор сквозь века: Отечественная война 1812 года. Бородино». </w:t>
      </w:r>
      <w:r>
        <w:rPr>
          <w:sz w:val="24"/>
        </w:rPr>
        <w:t>Работа круглого стола, подведение итогов проект - занятия, награждение состоится во Дворце (дата проведения будет объявлена дополнительно).</w:t>
      </w:r>
    </w:p>
    <w:p w14:paraId="20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На второй этап будут приглашены победители в номинациях и лучшие участники 1 этапа проект-занятия от каждого учебного заведения.</w:t>
      </w:r>
    </w:p>
    <w:p w14:paraId="21000000">
      <w:pPr>
        <w:pStyle w:val="Style_3"/>
        <w:spacing w:line="240" w:lineRule="auto"/>
        <w:ind w:firstLine="360" w:left="360"/>
        <w:jc w:val="both"/>
        <w:rPr>
          <w:rFonts w:ascii="Times New Roman" w:hAnsi="Times New Roman"/>
          <w:sz w:val="24"/>
        </w:rPr>
      </w:pPr>
    </w:p>
    <w:p w14:paraId="22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 xml:space="preserve">Номинации: </w:t>
      </w:r>
    </w:p>
    <w:p w14:paraId="23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1 номинация. Викторина «За нами Москва, весь народ, вся Россия!»</w:t>
      </w:r>
    </w:p>
    <w:p w14:paraId="24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2 номинация. Презентация. Тема: «Бородино, ты славою озарено!»</w:t>
      </w:r>
      <w:r>
        <w:rPr>
          <w:b w:val="1"/>
          <w:sz w:val="24"/>
        </w:rPr>
        <w:t xml:space="preserve"> </w:t>
      </w:r>
      <w:r>
        <w:rPr>
          <w:sz w:val="24"/>
        </w:rPr>
        <w:t>Отразить вопросы: причины и начало Отечественной войны 1812 г.; Бородинская битва – генеральное сражение; ход сражения; герои Бородин</w:t>
      </w:r>
      <w:r>
        <w:rPr>
          <w:sz w:val="24"/>
        </w:rPr>
        <w:t>о</w:t>
      </w:r>
      <w:r>
        <w:rPr>
          <w:sz w:val="24"/>
        </w:rPr>
        <w:t xml:space="preserve"> и войны 1812 г.; итоги битвы, её значение в Отечественной войне 1812 г.</w:t>
      </w:r>
    </w:p>
    <w:p w14:paraId="25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3 номинация</w:t>
      </w:r>
      <w:r>
        <w:rPr>
          <w:sz w:val="24"/>
        </w:rPr>
        <w:t xml:space="preserve">. </w:t>
      </w:r>
      <w:r>
        <w:rPr>
          <w:b w:val="1"/>
          <w:sz w:val="24"/>
        </w:rPr>
        <w:t xml:space="preserve">Униформа, вооружение русской и французской армий. </w:t>
      </w:r>
      <w:r>
        <w:rPr>
          <w:sz w:val="24"/>
        </w:rPr>
        <w:t>(из бумаги, картона, ткани, пластилина, металла, дерева, и т.д.). создаются элементы униформы (эполеты, головные уборы, и др.), макеты солдатиков, оружия.</w:t>
      </w:r>
    </w:p>
    <w:p w14:paraId="26000000">
      <w:pPr>
        <w:pStyle w:val="Style_3"/>
        <w:widowControl w:val="1"/>
        <w:spacing w:after="0" w:before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</w:p>
    <w:p w14:paraId="27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 xml:space="preserve">6. КРИТЕРИИ ОЦЕНОК. </w:t>
      </w:r>
    </w:p>
    <w:p w14:paraId="28000000">
      <w:pPr>
        <w:pStyle w:val="Style_2"/>
        <w:widowControl w:val="1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sz w:val="24"/>
        </w:rPr>
        <w:t>Для 1-й номинации:</w:t>
      </w:r>
      <w:r>
        <w:rPr>
          <w:rFonts w:ascii="Times New Roman" w:hAnsi="Times New Roman"/>
          <w:sz w:val="24"/>
        </w:rPr>
        <w:tab/>
      </w:r>
    </w:p>
    <w:p w14:paraId="29000000">
      <w:pPr>
        <w:pStyle w:val="Style_2"/>
        <w:widowControl w:val="1"/>
        <w:spacing w:after="0" w:before="0" w:line="240" w:lineRule="auto"/>
        <w:ind w:firstLine="1134" w:left="0" w:right="0"/>
        <w:jc w:val="both"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наличие ответов на все вопросы;</w:t>
      </w:r>
    </w:p>
    <w:p w14:paraId="2A000000">
      <w:pPr>
        <w:pStyle w:val="Style_2"/>
        <w:widowControl w:val="1"/>
        <w:spacing w:after="0" w:before="0" w:line="240" w:lineRule="auto"/>
        <w:ind w:firstLine="1134" w:left="0" w:right="0"/>
        <w:jc w:val="both"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верность фактам и глубина осмысления исторических процессов;</w:t>
      </w:r>
    </w:p>
    <w:p w14:paraId="2B000000">
      <w:pPr>
        <w:pStyle w:val="Style_2"/>
        <w:widowControl w:val="1"/>
        <w:spacing w:after="0" w:before="0" w:line="240" w:lineRule="auto"/>
        <w:ind w:firstLine="1134" w:left="0" w:right="0"/>
        <w:jc w:val="both"/>
      </w:pPr>
      <w:r>
        <w:rPr>
          <w:rFonts w:ascii="Times New Roman" w:hAnsi="Times New Roman"/>
          <w:sz w:val="24"/>
        </w:rPr>
        <w:t>- культура оформления.</w:t>
      </w:r>
    </w:p>
    <w:p w14:paraId="2C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>Для 2-й номинации:</w:t>
      </w:r>
      <w:r>
        <w:rPr>
          <w:sz w:val="24"/>
        </w:rPr>
        <w:tab/>
      </w:r>
    </w:p>
    <w:p w14:paraId="2D000000">
      <w:pPr>
        <w:pStyle w:val="Style_3"/>
        <w:widowControl w:val="1"/>
        <w:spacing w:after="0" w:before="0" w:line="240" w:lineRule="auto"/>
        <w:ind w:firstLine="0" w:left="1134" w:right="0"/>
        <w:jc w:val="both"/>
      </w:pPr>
      <w:r>
        <w:rPr>
          <w:sz w:val="24"/>
        </w:rPr>
        <w:t>- глубина содержания, верность историческим фактам;</w:t>
      </w:r>
    </w:p>
    <w:p w14:paraId="2E000000">
      <w:pPr>
        <w:pStyle w:val="Style_3"/>
        <w:widowControl w:val="1"/>
        <w:numPr>
          <w:ilvl w:val="0"/>
          <w:numId w:val="0"/>
        </w:numPr>
        <w:tabs>
          <w:tab w:leader="none" w:pos="708" w:val="clear"/>
          <w:tab w:leader="none" w:pos="851" w:val="left"/>
          <w:tab w:leader="none" w:pos="1276" w:val="left"/>
        </w:tabs>
        <w:spacing w:after="0" w:before="0" w:line="240" w:lineRule="auto"/>
        <w:ind w:firstLine="0" w:left="1134" w:right="57"/>
        <w:jc w:val="both"/>
      </w:pPr>
      <w:r>
        <w:rPr>
          <w:sz w:val="24"/>
        </w:rPr>
        <w:t>- оформление и информативность (для презентации не более 20 слайдов);</w:t>
      </w:r>
    </w:p>
    <w:p w14:paraId="2F000000">
      <w:pPr>
        <w:pStyle w:val="Style_3"/>
        <w:widowControl w:val="1"/>
        <w:numPr>
          <w:ilvl w:val="0"/>
          <w:numId w:val="0"/>
        </w:numPr>
        <w:tabs>
          <w:tab w:leader="none" w:pos="708" w:val="clear"/>
          <w:tab w:leader="none" w:pos="851" w:val="left"/>
          <w:tab w:leader="none" w:pos="1276" w:val="left"/>
        </w:tabs>
        <w:spacing w:after="0" w:before="0" w:line="240" w:lineRule="auto"/>
        <w:ind w:firstLine="0" w:left="1134" w:right="57"/>
        <w:jc w:val="both"/>
      </w:pPr>
      <w:r>
        <w:rPr>
          <w:sz w:val="24"/>
        </w:rPr>
        <w:t>- ссылка на использование источника.</w:t>
      </w:r>
    </w:p>
    <w:p w14:paraId="30000000">
      <w:pPr>
        <w:pStyle w:val="Style_3"/>
        <w:widowControl w:val="1"/>
        <w:tabs>
          <w:tab w:leader="none" w:pos="708" w:val="clear"/>
          <w:tab w:leader="none" w:pos="1276" w:val="left"/>
        </w:tabs>
        <w:spacing w:after="0" w:before="0" w:line="240" w:lineRule="auto"/>
        <w:ind w:firstLine="567" w:left="0" w:right="57"/>
        <w:jc w:val="both"/>
      </w:pPr>
      <w:r>
        <w:rPr>
          <w:sz w:val="24"/>
        </w:rPr>
        <w:t>Для 3-й номинации:</w:t>
      </w:r>
    </w:p>
    <w:p w14:paraId="31000000">
      <w:pPr>
        <w:pStyle w:val="Style_3"/>
        <w:tabs>
          <w:tab w:leader="none" w:pos="708" w:val="clear"/>
          <w:tab w:leader="none" w:pos="1276" w:val="left"/>
        </w:tabs>
        <w:spacing w:line="240" w:lineRule="auto"/>
        <w:ind w:firstLine="0" w:left="1134" w:right="57"/>
        <w:jc w:val="both"/>
      </w:pPr>
      <w:r>
        <w:rPr>
          <w:sz w:val="24"/>
        </w:rPr>
        <w:t>- оригинальность и находчивость в применении материалов     в изготовлении элементов униформы;</w:t>
      </w:r>
    </w:p>
    <w:p w14:paraId="32000000">
      <w:pPr>
        <w:pStyle w:val="Style_3"/>
        <w:tabs>
          <w:tab w:leader="none" w:pos="708" w:val="clear"/>
          <w:tab w:leader="none" w:pos="1276" w:val="left"/>
        </w:tabs>
        <w:spacing w:line="240" w:lineRule="auto"/>
        <w:ind w:firstLine="0" w:left="1134" w:right="57"/>
        <w:jc w:val="both"/>
      </w:pPr>
      <w:r>
        <w:rPr>
          <w:sz w:val="24"/>
        </w:rPr>
        <w:t>- историческое соответствие;</w:t>
      </w:r>
    </w:p>
    <w:p w14:paraId="33000000">
      <w:pPr>
        <w:pStyle w:val="Style_3"/>
        <w:tabs>
          <w:tab w:leader="none" w:pos="708" w:val="clear"/>
          <w:tab w:leader="none" w:pos="1276" w:val="left"/>
        </w:tabs>
        <w:spacing w:line="240" w:lineRule="auto"/>
        <w:ind w:firstLine="0" w:left="1134" w:right="57"/>
        <w:jc w:val="both"/>
      </w:pPr>
      <w:r>
        <w:rPr>
          <w:sz w:val="24"/>
        </w:rPr>
        <w:t>- художественное исполнение  представленных макетов и поделок.</w:t>
      </w:r>
    </w:p>
    <w:p w14:paraId="34000000">
      <w:pPr>
        <w:pStyle w:val="Style_3"/>
        <w:spacing w:line="240" w:lineRule="auto"/>
        <w:ind w:firstLine="0" w:left="360"/>
        <w:jc w:val="both"/>
        <w:rPr>
          <w:rFonts w:ascii="Times New Roman" w:hAnsi="Times New Roman"/>
          <w:sz w:val="24"/>
        </w:rPr>
      </w:pPr>
    </w:p>
    <w:p w14:paraId="35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b w:val="1"/>
          <w:sz w:val="24"/>
        </w:rPr>
        <w:t>7. НАГРАЖДЕНИЕ.</w:t>
      </w:r>
    </w:p>
    <w:p w14:paraId="36000000">
      <w:pPr>
        <w:pStyle w:val="Style_3"/>
        <w:widowControl w:val="1"/>
        <w:spacing w:after="0" w:before="0" w:line="240" w:lineRule="auto"/>
        <w:ind w:firstLine="567" w:left="0" w:right="0"/>
        <w:jc w:val="both"/>
      </w:pPr>
      <w:r>
        <w:rPr>
          <w:sz w:val="24"/>
        </w:rPr>
        <w:t xml:space="preserve">Победителями в каждой номинации становятся участники, набравшие наибольшее количество баллов. Победители и призёры награждаются дипломами и призами. </w:t>
      </w:r>
      <w:r>
        <w:rPr>
          <w:sz w:val="24"/>
        </w:rPr>
        <w:t>Н</w:t>
      </w:r>
      <w:r>
        <w:rPr>
          <w:sz w:val="24"/>
        </w:rPr>
        <w:t xml:space="preserve">аиболее активные участники проект – занятия награждаются </w:t>
      </w:r>
      <w:r>
        <w:rPr>
          <w:sz w:val="24"/>
        </w:rPr>
        <w:t>г</w:t>
      </w:r>
      <w:r>
        <w:rPr>
          <w:sz w:val="24"/>
        </w:rPr>
        <w:t>рамотами и призами.</w:t>
      </w:r>
    </w:p>
    <w:p w14:paraId="37000000">
      <w:pPr>
        <w:pStyle w:val="Style_3"/>
        <w:widowControl w:val="1"/>
        <w:spacing w:after="0" w:before="0" w:line="240" w:lineRule="auto"/>
        <w:ind w:firstLine="567" w:left="0" w:right="0"/>
        <w:jc w:val="both"/>
      </w:pPr>
    </w:p>
    <w:sectPr>
      <w:type w:val="nextPage"/>
      <w:pgSz w:h="16838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  <w:rPr>
        <w:rFonts w:ascii="OpenSymbol" w:hAnsi="OpenSymbol"/>
        <w:b w:val="0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z w:val="22"/>
    </w:rPr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9_ch" w:type="character">
    <w:name w:val="heading 3"/>
    <w:basedOn w:val="Style_2_ch"/>
    <w:link w:val="Style_9"/>
    <w:rPr>
      <w:rFonts w:asciiTheme="majorAscii" w:hAnsiTheme="majorHAnsi"/>
      <w:b w:val="1"/>
      <w:color w:themeColor="accent1" w:val="4F81BD"/>
    </w:rPr>
  </w:style>
  <w:style w:styleId="Style_4" w:type="paragraph">
    <w:name w:val="List Paragraph"/>
    <w:basedOn w:val="Style_2"/>
    <w:link w:val="Style_4_ch"/>
    <w:pPr>
      <w:spacing w:after="200" w:before="0"/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10" w:type="paragraph">
    <w:name w:val="Caption"/>
    <w:basedOn w:val="Style_2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Caption"/>
    <w:basedOn w:val="Style_2_ch"/>
    <w:link w:val="Style_10"/>
    <w:rPr>
      <w:i w:val="1"/>
      <w:sz w:val="24"/>
    </w:rPr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Название Знак"/>
    <w:basedOn w:val="Style_14"/>
    <w:link w:val="Style_13_ch"/>
    <w:rPr>
      <w:rFonts w:ascii="Times New Roman" w:hAnsi="Times New Roman"/>
      <w:sz w:val="28"/>
    </w:rPr>
  </w:style>
  <w:style w:styleId="Style_13_ch" w:type="character">
    <w:name w:val="Название Знак"/>
    <w:basedOn w:val="Style_14_ch"/>
    <w:link w:val="Style_13"/>
    <w:rPr>
      <w:rFonts w:ascii="Times New Roman" w:hAnsi="Times New Roman"/>
      <w:sz w:val="28"/>
    </w:rPr>
  </w:style>
  <w:style w:styleId="Style_15" w:type="paragraph">
    <w:name w:val="Подзаголовок Знак"/>
    <w:basedOn w:val="Style_14"/>
    <w:link w:val="Style_15_ch"/>
    <w:rPr>
      <w:rFonts w:ascii="Times New Roman" w:hAnsi="Times New Roman"/>
      <w:sz w:val="32"/>
    </w:rPr>
  </w:style>
  <w:style w:styleId="Style_15_ch" w:type="character">
    <w:name w:val="Подзаголовок Знак"/>
    <w:basedOn w:val="Style_14_ch"/>
    <w:link w:val="Style_15"/>
    <w:rPr>
      <w:rFonts w:ascii="Times New Roman" w:hAnsi="Times New Roman"/>
      <w:sz w:val="32"/>
    </w:rPr>
  </w:style>
  <w:style w:styleId="Style_16" w:type="paragraph">
    <w:name w:val="Заголовок"/>
    <w:basedOn w:val="Style_2"/>
    <w:next w:val="Style_12"/>
    <w:link w:val="Style_1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6_ch" w:type="character">
    <w:name w:val="Заголовок"/>
    <w:basedOn w:val="Style_2_ch"/>
    <w:link w:val="Style_16"/>
    <w:rPr>
      <w:rFonts w:ascii="Liberation Sans" w:hAnsi="Liberation Sans"/>
      <w:sz w:val="28"/>
    </w:rPr>
  </w:style>
  <w:style w:styleId="Style_17" w:type="paragraph">
    <w:name w:val="toc 3"/>
    <w:next w:val="Style_2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Balloon Text"/>
    <w:basedOn w:val="Style_2"/>
    <w:link w:val="Style_18_ch"/>
    <w:pPr>
      <w:spacing w:after="0" w:before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2" w:type="paragraph">
    <w:name w:val="Body Text"/>
    <w:basedOn w:val="Style_2"/>
    <w:link w:val="Style_12_ch"/>
    <w:pPr>
      <w:spacing w:after="140" w:before="0" w:line="276" w:lineRule="auto"/>
      <w:ind/>
    </w:pPr>
  </w:style>
  <w:style w:styleId="Style_12_ch" w:type="character">
    <w:name w:val="Body Text"/>
    <w:basedOn w:val="Style_2_ch"/>
    <w:link w:val="Style_12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9" w:type="paragraph">
    <w:name w:val="Footnote Characters"/>
    <w:basedOn w:val="Style_14"/>
    <w:link w:val="Style_19_ch"/>
    <w:rPr>
      <w:vertAlign w:val="superscript"/>
    </w:rPr>
  </w:style>
  <w:style w:styleId="Style_19_ch" w:type="character">
    <w:name w:val="Footnote Characters"/>
    <w:basedOn w:val="Style_14_ch"/>
    <w:link w:val="Style_19"/>
    <w:rPr>
      <w:vertAlign w:val="superscript"/>
    </w:rPr>
  </w:style>
  <w:style w:styleId="Style_20" w:type="paragraph">
    <w:name w:val="No Spacing"/>
    <w:link w:val="Style_20_ch"/>
    <w:pPr>
      <w:widowControl w:val="1"/>
      <w:spacing w:after="0" w:before="0" w:line="240" w:lineRule="auto"/>
      <w:ind/>
      <w:jc w:val="left"/>
    </w:pPr>
    <w:rPr>
      <w:rFonts w:ascii="Calibri" w:hAnsi="Calibri"/>
      <w:color w:val="000000"/>
      <w:sz w:val="22"/>
    </w:rPr>
  </w:style>
  <w:style w:styleId="Style_20_ch" w:type="character">
    <w:name w:val="No Spacing"/>
    <w:link w:val="Style_20"/>
    <w:rPr>
      <w:rFonts w:ascii="Calibri" w:hAnsi="Calibri"/>
      <w:color w:val="000000"/>
      <w:sz w:val="22"/>
    </w:rPr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22_ch" w:type="character">
    <w:name w:val="heading 1"/>
    <w:basedOn w:val="Style_2_ch"/>
    <w:link w:val="Style_22"/>
    <w:rPr>
      <w:rFonts w:asciiTheme="majorAscii" w:hAnsiTheme="majorHAnsi"/>
      <w:b w:val="1"/>
      <w:color w:themeColor="accent1" w:themeShade="BF" w:val="366091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2"/>
    <w:link w:val="Style_24_ch"/>
    <w:pPr>
      <w:spacing w:after="0" w:before="0" w:line="240" w:lineRule="auto"/>
      <w:ind/>
    </w:pPr>
    <w:rPr>
      <w:sz w:val="20"/>
    </w:rPr>
  </w:style>
  <w:style w:styleId="Style_24_ch" w:type="character">
    <w:name w:val="Footnote"/>
    <w:basedOn w:val="Style_2_ch"/>
    <w:link w:val="Style_24"/>
    <w:rPr>
      <w:sz w:val="20"/>
    </w:rPr>
  </w:style>
  <w:style w:styleId="Style_25" w:type="paragraph">
    <w:name w:val="toc 1"/>
    <w:next w:val="Style_2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Привязка сноски"/>
    <w:link w:val="Style_27_ch"/>
    <w:rPr>
      <w:vertAlign w:val="superscript"/>
    </w:rPr>
  </w:style>
  <w:style w:styleId="Style_27_ch" w:type="character">
    <w:name w:val="Привязка сноски"/>
    <w:link w:val="Style_27"/>
    <w:rPr>
      <w:vertAlign w:val="superscript"/>
    </w:rPr>
  </w:style>
  <w:style w:styleId="Style_28" w:type="paragraph">
    <w:name w:val="Указатель"/>
    <w:basedOn w:val="Style_2"/>
    <w:link w:val="Style_28_ch"/>
  </w:style>
  <w:style w:styleId="Style_28_ch" w:type="character">
    <w:name w:val="Указатель"/>
    <w:basedOn w:val="Style_2_ch"/>
    <w:link w:val="Style_28"/>
  </w:style>
  <w:style w:styleId="Style_29" w:type="paragraph">
    <w:name w:val="toc 9"/>
    <w:next w:val="Style_2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Текст выноски Знак"/>
    <w:basedOn w:val="Style_14"/>
    <w:link w:val="Style_30_ch"/>
    <w:rPr>
      <w:rFonts w:ascii="Tahoma" w:hAnsi="Tahoma"/>
      <w:sz w:val="16"/>
    </w:rPr>
  </w:style>
  <w:style w:styleId="Style_30_ch" w:type="character">
    <w:name w:val="Текст выноски Знак"/>
    <w:basedOn w:val="Style_14_ch"/>
    <w:link w:val="Style_30"/>
    <w:rPr>
      <w:rFonts w:ascii="Tahoma" w:hAnsi="Tahoma"/>
      <w:sz w:val="16"/>
    </w:rPr>
  </w:style>
  <w:style w:styleId="Style_31" w:type="paragraph">
    <w:name w:val="toc 8"/>
    <w:next w:val="Style_2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toc 5"/>
    <w:next w:val="Style_2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Символ нумерации"/>
    <w:link w:val="Style_33_ch"/>
    <w:rPr>
      <w:b w:val="1"/>
    </w:rPr>
  </w:style>
  <w:style w:styleId="Style_33_ch" w:type="character">
    <w:name w:val="Символ нумерации"/>
    <w:link w:val="Style_33"/>
    <w:rPr>
      <w:b w:val="1"/>
    </w:rPr>
  </w:style>
  <w:style w:styleId="Style_3" w:type="paragraph">
    <w:name w:val="Subtitle"/>
    <w:basedOn w:val="Style_2"/>
    <w:link w:val="Style_3_ch"/>
    <w:uiPriority w:val="11"/>
    <w:qFormat/>
    <w:pPr>
      <w:spacing w:after="0" w:before="0" w:line="240" w:lineRule="auto"/>
      <w:ind/>
      <w:jc w:val="center"/>
    </w:pPr>
    <w:rPr>
      <w:rFonts w:ascii="Times New Roman" w:hAnsi="Times New Roman"/>
      <w:sz w:val="32"/>
    </w:rPr>
  </w:style>
  <w:style w:styleId="Style_3_ch" w:type="character">
    <w:name w:val="Subtitle"/>
    <w:basedOn w:val="Style_2_ch"/>
    <w:link w:val="Style_3"/>
    <w:rPr>
      <w:rFonts w:ascii="Times New Roman" w:hAnsi="Times New Roman"/>
      <w:sz w:val="32"/>
    </w:rPr>
  </w:style>
  <w:style w:styleId="Style_34" w:type="paragraph">
    <w:name w:val="toc 10"/>
    <w:next w:val="Style_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1" w:type="paragraph">
    <w:name w:val="Title"/>
    <w:basedOn w:val="Style_2"/>
    <w:link w:val="Style_1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1_ch" w:type="character">
    <w:name w:val="Title"/>
    <w:basedOn w:val="Style_2_ch"/>
    <w:link w:val="Style_1"/>
    <w:rPr>
      <w:rFonts w:ascii="Times New Roman" w:hAnsi="Times New Roman"/>
      <w:sz w:val="28"/>
    </w:rPr>
  </w:style>
  <w:style w:styleId="Style_35" w:type="paragraph">
    <w:name w:val="heading 4"/>
    <w:next w:val="Style_2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Без интервала Знак"/>
    <w:basedOn w:val="Style_14"/>
    <w:link w:val="Style_36_ch"/>
  </w:style>
  <w:style w:styleId="Style_36_ch" w:type="character">
    <w:name w:val="Без интервала Знак"/>
    <w:basedOn w:val="Style_14_ch"/>
    <w:link w:val="Style_36"/>
  </w:style>
  <w:style w:styleId="Style_37" w:type="paragraph">
    <w:name w:val="heading 2"/>
    <w:basedOn w:val="Style_2"/>
    <w:next w:val="Style_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37_ch" w:type="character">
    <w:name w:val="heading 2"/>
    <w:basedOn w:val="Style_2_ch"/>
    <w:link w:val="Style_37"/>
    <w:rPr>
      <w:rFonts w:asciiTheme="majorAscii" w:hAnsiTheme="majorHAnsi"/>
      <w:b w:val="1"/>
      <w:color w:themeColor="accent1" w:val="4F81BD"/>
      <w:sz w:val="26"/>
    </w:rPr>
  </w:style>
  <w:style w:styleId="Style_38" w:type="paragraph">
    <w:name w:val="Текст сноски Знак"/>
    <w:basedOn w:val="Style_14"/>
    <w:link w:val="Style_38_ch"/>
    <w:rPr>
      <w:sz w:val="20"/>
    </w:rPr>
  </w:style>
  <w:style w:styleId="Style_38_ch" w:type="character">
    <w:name w:val="Текст сноски Знак"/>
    <w:basedOn w:val="Style_14_ch"/>
    <w:link w:val="Style_38"/>
    <w:rPr>
      <w:sz w:val="20"/>
    </w:rPr>
  </w:style>
  <w:style w:default="1" w:styleId="Style_39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2022-09-21T11:42:05Z</dcterms:modified>
</cp:coreProperties>
</file>